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B537B" w14:textId="77777777" w:rsidR="00640289" w:rsidRDefault="1F0B73EC" w:rsidP="1F0B73EC">
      <w:pPr>
        <w:rPr>
          <w:b/>
          <w:bCs/>
          <w:sz w:val="22"/>
          <w:szCs w:val="22"/>
        </w:rPr>
      </w:pPr>
      <w:r w:rsidRPr="1F0B73EC">
        <w:rPr>
          <w:b/>
          <w:bCs/>
          <w:sz w:val="22"/>
          <w:szCs w:val="22"/>
        </w:rPr>
        <w:t>Taff Housing: Diversity in the Workplace – One Page Update</w:t>
      </w:r>
    </w:p>
    <w:p w14:paraId="23A6BFDA" w14:textId="4671ECC3" w:rsidR="00640289" w:rsidRDefault="1F0B73EC" w:rsidP="1F0B73EC">
      <w:pPr>
        <w:rPr>
          <w:sz w:val="22"/>
          <w:szCs w:val="22"/>
        </w:rPr>
      </w:pPr>
      <w:r w:rsidRPr="1F0B73EC">
        <w:rPr>
          <w:sz w:val="22"/>
          <w:szCs w:val="22"/>
        </w:rPr>
        <w:t xml:space="preserve">Taff has made significant strides in advancing workplace diversity, guided by the commitments in the </w:t>
      </w:r>
      <w:r w:rsidRPr="1F0B73EC">
        <w:rPr>
          <w:i/>
          <w:iCs/>
          <w:sz w:val="22"/>
          <w:szCs w:val="22"/>
        </w:rPr>
        <w:t>Deeds Not Words</w:t>
      </w:r>
      <w:r w:rsidRPr="1F0B73EC">
        <w:rPr>
          <w:sz w:val="22"/>
          <w:szCs w:val="22"/>
        </w:rPr>
        <w:t xml:space="preserve"> action plan and now its successor, the </w:t>
      </w:r>
      <w:r w:rsidRPr="1F0B73EC">
        <w:rPr>
          <w:i/>
          <w:iCs/>
          <w:sz w:val="22"/>
          <w:szCs w:val="22"/>
        </w:rPr>
        <w:t>Equity, Diversity and Inclusion Strategy 2025–2029.</w:t>
      </w:r>
    </w:p>
    <w:p w14:paraId="1431BD93" w14:textId="77777777" w:rsidR="00640289" w:rsidRDefault="1F0B73EC" w:rsidP="1F0B73EC">
      <w:pPr>
        <w:pStyle w:val="Heading3"/>
        <w:rPr>
          <w:sz w:val="22"/>
          <w:szCs w:val="22"/>
        </w:rPr>
      </w:pPr>
      <w:r w:rsidRPr="1F0B73EC">
        <w:rPr>
          <w:sz w:val="22"/>
          <w:szCs w:val="22"/>
        </w:rPr>
        <w:t>Strategic Framework</w:t>
      </w:r>
    </w:p>
    <w:p w14:paraId="4A714029" w14:textId="5C93E09A" w:rsidR="00640289" w:rsidRDefault="1F0B73EC" w:rsidP="1F0B73EC">
      <w:pPr>
        <w:rPr>
          <w:sz w:val="22"/>
          <w:szCs w:val="22"/>
          <w:vertAlign w:val="superscript"/>
        </w:rPr>
      </w:pPr>
      <w:r w:rsidRPr="1F0B73EC">
        <w:rPr>
          <w:sz w:val="22"/>
          <w:szCs w:val="22"/>
        </w:rPr>
        <w:t xml:space="preserve">Since adopting </w:t>
      </w:r>
      <w:r w:rsidRPr="1F0B73EC">
        <w:rPr>
          <w:i/>
          <w:iCs/>
          <w:sz w:val="22"/>
          <w:szCs w:val="22"/>
        </w:rPr>
        <w:t>Deeds Not Words</w:t>
      </w:r>
      <w:r w:rsidRPr="1F0B73EC">
        <w:rPr>
          <w:sz w:val="22"/>
          <w:szCs w:val="22"/>
        </w:rPr>
        <w:t xml:space="preserve"> in 2020, Taff has embedded an actively anti-racist approach across its operations. This evolved into the 2025–2029 EDI Strategy, aligning with the broader Strategic Plan to ensure long-term, systemic change.</w:t>
      </w:r>
    </w:p>
    <w:p w14:paraId="7CF0051F" w14:textId="77777777" w:rsidR="00640289" w:rsidRDefault="1F0B73EC" w:rsidP="1F0B73EC">
      <w:pPr>
        <w:pStyle w:val="Heading3"/>
        <w:rPr>
          <w:sz w:val="22"/>
          <w:szCs w:val="22"/>
        </w:rPr>
      </w:pPr>
      <w:r w:rsidRPr="1F0B73EC">
        <w:rPr>
          <w:sz w:val="22"/>
          <w:szCs w:val="22"/>
        </w:rPr>
        <w:t>Key Actions Taken</w:t>
      </w:r>
    </w:p>
    <w:p w14:paraId="01439D7E" w14:textId="2B4166F6" w:rsidR="00640289" w:rsidRDefault="38F689B5" w:rsidP="1F0B73E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1F0B73EC">
        <w:rPr>
          <w:b/>
          <w:bCs/>
          <w:sz w:val="22"/>
          <w:szCs w:val="22"/>
        </w:rPr>
        <w:t>Training</w:t>
      </w:r>
    </w:p>
    <w:p w14:paraId="2959DA79" w14:textId="5112842A" w:rsidR="00640289" w:rsidRDefault="1F0B73EC" w:rsidP="1F0B73E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1F0B73EC">
        <w:rPr>
          <w:sz w:val="22"/>
          <w:szCs w:val="22"/>
        </w:rPr>
        <w:t xml:space="preserve">Cultural Competency Awareness Raising sessions: Rolled out in partnership with Diverse Cymru Wales, this </w:t>
      </w:r>
      <w:proofErr w:type="spellStart"/>
      <w:r w:rsidRPr="1F0B73EC">
        <w:rPr>
          <w:sz w:val="22"/>
          <w:szCs w:val="22"/>
        </w:rPr>
        <w:t>programme</w:t>
      </w:r>
      <w:proofErr w:type="spellEnd"/>
      <w:r w:rsidRPr="1F0B73EC">
        <w:rPr>
          <w:sz w:val="22"/>
          <w:szCs w:val="22"/>
        </w:rPr>
        <w:t xml:space="preserve"> has engaged leadership and operational managers.</w:t>
      </w:r>
    </w:p>
    <w:p w14:paraId="14C258D8" w14:textId="6F98FBF6" w:rsidR="7FB2DD2B" w:rsidRDefault="7FB2DD2B" w:rsidP="1F0B73EC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1F0B73EC">
        <w:rPr>
          <w:sz w:val="22"/>
          <w:szCs w:val="22"/>
        </w:rPr>
        <w:t>All colleagues undertake mandatory EDI training</w:t>
      </w:r>
    </w:p>
    <w:p w14:paraId="16A272FE" w14:textId="77777777" w:rsidR="00640289" w:rsidRDefault="1F0B73EC" w:rsidP="1F0B73E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1F0B73EC">
        <w:rPr>
          <w:b/>
          <w:bCs/>
          <w:sz w:val="22"/>
          <w:szCs w:val="22"/>
        </w:rPr>
        <w:t>Recruitment &amp; Representation</w:t>
      </w:r>
      <w:r w:rsidRPr="1F0B73EC">
        <w:rPr>
          <w:sz w:val="22"/>
          <w:szCs w:val="22"/>
        </w:rPr>
        <w:t>:</w:t>
      </w:r>
    </w:p>
    <w:p w14:paraId="07A8E336" w14:textId="28D08AB6" w:rsidR="738DE4C5" w:rsidRDefault="738DE4C5" w:rsidP="1F0B73EC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1F0B73EC">
        <w:rPr>
          <w:sz w:val="22"/>
          <w:szCs w:val="22"/>
        </w:rPr>
        <w:t xml:space="preserve">Candidates are asked if they need adjustments during the recruitment process, and reasonable </w:t>
      </w:r>
      <w:proofErr w:type="gramStart"/>
      <w:r w:rsidRPr="1F0B73EC">
        <w:rPr>
          <w:sz w:val="22"/>
          <w:szCs w:val="22"/>
        </w:rPr>
        <w:t>accommodations are</w:t>
      </w:r>
      <w:proofErr w:type="gramEnd"/>
      <w:r w:rsidRPr="1F0B73EC">
        <w:rPr>
          <w:sz w:val="22"/>
          <w:szCs w:val="22"/>
        </w:rPr>
        <w:t xml:space="preserve"> made </w:t>
      </w:r>
    </w:p>
    <w:p w14:paraId="7DDC5AD8" w14:textId="13AA6F1A" w:rsidR="738DE4C5" w:rsidRDefault="738DE4C5" w:rsidP="1F0B73EC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1F0B73EC">
        <w:rPr>
          <w:sz w:val="22"/>
          <w:szCs w:val="22"/>
        </w:rPr>
        <w:t>All colleagues involved in shortlisting and interviewing must complete Unconscious Bias Training and the Recruitment and Interviewing Management Development module</w:t>
      </w:r>
    </w:p>
    <w:p w14:paraId="37DFAFCD" w14:textId="77777777" w:rsidR="00640289" w:rsidRDefault="1F0B73EC" w:rsidP="1F0B73EC">
      <w:pPr>
        <w:pStyle w:val="ListParagraph"/>
        <w:numPr>
          <w:ilvl w:val="1"/>
          <w:numId w:val="2"/>
        </w:numPr>
        <w:rPr>
          <w:rStyle w:val="FootnoteReference"/>
          <w:sz w:val="22"/>
          <w:szCs w:val="22"/>
        </w:rPr>
      </w:pPr>
      <w:r w:rsidRPr="1F0B73EC">
        <w:rPr>
          <w:sz w:val="22"/>
          <w:szCs w:val="22"/>
        </w:rPr>
        <w:t>Ethnic diversity among colleagues rose from 21.5% in 2023 to 30.5% in 2024.</w:t>
      </w:r>
    </w:p>
    <w:p w14:paraId="5E2FBBD2" w14:textId="451F2461" w:rsidR="00640289" w:rsidRDefault="1F0B73EC" w:rsidP="1F0B73EC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1F0B73EC">
        <w:rPr>
          <w:sz w:val="22"/>
          <w:szCs w:val="22"/>
        </w:rPr>
        <w:t>However, senior leadership remains exclusively white, highlighting a persistent gap in representation. Further work will be done in this area.</w:t>
      </w:r>
    </w:p>
    <w:p w14:paraId="79FCFB11" w14:textId="1BF97C96" w:rsidR="00640289" w:rsidRDefault="1F0B73EC" w:rsidP="1F0B73EC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1F0B73EC">
        <w:rPr>
          <w:sz w:val="22"/>
          <w:szCs w:val="22"/>
        </w:rPr>
        <w:t>47.4% of appointments in 2023/24 were from Black, Asian, and Minority Ethnic backgrounds.</w:t>
      </w:r>
    </w:p>
    <w:p w14:paraId="6BFA0993" w14:textId="5354DACD" w:rsidR="64DFB0D7" w:rsidRDefault="64DFB0D7" w:rsidP="1F0B73EC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1F0B73EC">
        <w:rPr>
          <w:sz w:val="22"/>
          <w:szCs w:val="22"/>
        </w:rPr>
        <w:t>Taff was a founding m</w:t>
      </w:r>
      <w:r w:rsidR="67040D71" w:rsidRPr="1F0B73EC">
        <w:rPr>
          <w:sz w:val="22"/>
          <w:szCs w:val="22"/>
        </w:rPr>
        <w:t xml:space="preserve">ember of the Get </w:t>
      </w:r>
      <w:proofErr w:type="gramStart"/>
      <w:r w:rsidR="67040D71" w:rsidRPr="1F0B73EC">
        <w:rPr>
          <w:sz w:val="22"/>
          <w:szCs w:val="22"/>
        </w:rPr>
        <w:t>Into</w:t>
      </w:r>
      <w:proofErr w:type="gramEnd"/>
      <w:r w:rsidR="67040D71" w:rsidRPr="1F0B73EC">
        <w:rPr>
          <w:sz w:val="22"/>
          <w:szCs w:val="22"/>
        </w:rPr>
        <w:t xml:space="preserve"> Housing Project and has supported participants on placement with Taff to gain </w:t>
      </w:r>
      <w:r w:rsidR="0369C1E0" w:rsidRPr="1F0B73EC">
        <w:rPr>
          <w:sz w:val="22"/>
          <w:szCs w:val="22"/>
        </w:rPr>
        <w:t xml:space="preserve">paid work experience. Some participants have been successful in gaining employment in Taff and/or local housing associations. </w:t>
      </w:r>
    </w:p>
    <w:p w14:paraId="133C23BB" w14:textId="77777777" w:rsidR="00640289" w:rsidRDefault="1F0B73EC" w:rsidP="1F0B73E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1F0B73EC">
        <w:rPr>
          <w:b/>
          <w:bCs/>
          <w:sz w:val="22"/>
          <w:szCs w:val="22"/>
        </w:rPr>
        <w:t>Pay Gap Monitoring</w:t>
      </w:r>
      <w:r w:rsidRPr="1F0B73EC">
        <w:rPr>
          <w:sz w:val="22"/>
          <w:szCs w:val="22"/>
        </w:rPr>
        <w:t>:</w:t>
      </w:r>
    </w:p>
    <w:p w14:paraId="3A4050A5" w14:textId="32D4D0CA" w:rsidR="00640289" w:rsidRDefault="1F0B73EC" w:rsidP="1F0B73EC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1F0B73EC">
        <w:rPr>
          <w:sz w:val="22"/>
          <w:szCs w:val="22"/>
        </w:rPr>
        <w:t>The ethnicity pay gap increased to 19.2% in 2024 due to limited diversity in senior roles and compressed salary structures.</w:t>
      </w:r>
    </w:p>
    <w:p w14:paraId="2DB22750" w14:textId="77777777" w:rsidR="00640289" w:rsidRDefault="1F0B73EC" w:rsidP="1F0B73EC">
      <w:pPr>
        <w:pStyle w:val="ListParagraph"/>
        <w:numPr>
          <w:ilvl w:val="1"/>
          <w:numId w:val="2"/>
        </w:numPr>
        <w:rPr>
          <w:rStyle w:val="FootnoteReference"/>
          <w:sz w:val="22"/>
          <w:szCs w:val="22"/>
        </w:rPr>
      </w:pPr>
      <w:r w:rsidRPr="1F0B73EC">
        <w:rPr>
          <w:sz w:val="22"/>
          <w:szCs w:val="22"/>
        </w:rPr>
        <w:t>Encouragingly, the gap reduced to 15.82% in 2025, reflecting more BAME colleagues in higher-paid roles.</w:t>
      </w:r>
    </w:p>
    <w:p w14:paraId="7B87157A" w14:textId="77777777" w:rsidR="00640289" w:rsidRDefault="1F0B73EC" w:rsidP="1F0B73E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1F0B73EC">
        <w:rPr>
          <w:b/>
          <w:bCs/>
          <w:sz w:val="22"/>
          <w:szCs w:val="22"/>
        </w:rPr>
        <w:t>Board Diversity</w:t>
      </w:r>
      <w:r w:rsidRPr="1F0B73EC">
        <w:rPr>
          <w:sz w:val="22"/>
          <w:szCs w:val="22"/>
        </w:rPr>
        <w:t>:</w:t>
      </w:r>
    </w:p>
    <w:p w14:paraId="4E0F0BAF" w14:textId="77777777" w:rsidR="00640289" w:rsidRDefault="1F0B73EC" w:rsidP="1F0B73EC">
      <w:pPr>
        <w:pStyle w:val="ListParagraph"/>
        <w:numPr>
          <w:ilvl w:val="1"/>
          <w:numId w:val="2"/>
        </w:numPr>
        <w:rPr>
          <w:rStyle w:val="FootnoteReference"/>
          <w:sz w:val="22"/>
          <w:szCs w:val="22"/>
        </w:rPr>
      </w:pPr>
      <w:r w:rsidRPr="1F0B73EC">
        <w:rPr>
          <w:sz w:val="22"/>
          <w:szCs w:val="22"/>
        </w:rPr>
        <w:t>The Board Membership &amp; Recruitment Policy reinforces the goal of a Board that reflects the communities served.</w:t>
      </w:r>
    </w:p>
    <w:p w14:paraId="1053B627" w14:textId="4F8BBAF4" w:rsidR="00640289" w:rsidRDefault="2B5FDD38" w:rsidP="1F0B73EC">
      <w:pPr>
        <w:pStyle w:val="ListParagraph"/>
        <w:numPr>
          <w:ilvl w:val="1"/>
          <w:numId w:val="2"/>
        </w:numPr>
        <w:rPr>
          <w:rStyle w:val="FootnoteReference"/>
          <w:sz w:val="22"/>
          <w:szCs w:val="22"/>
        </w:rPr>
      </w:pPr>
      <w:r w:rsidRPr="1F0B73EC">
        <w:rPr>
          <w:sz w:val="22"/>
          <w:szCs w:val="22"/>
        </w:rPr>
        <w:t xml:space="preserve">Taff was a founding member of the Pathway to Board </w:t>
      </w:r>
      <w:proofErr w:type="spellStart"/>
      <w:r w:rsidRPr="1F0B73EC">
        <w:rPr>
          <w:sz w:val="22"/>
          <w:szCs w:val="22"/>
        </w:rPr>
        <w:t>programme</w:t>
      </w:r>
      <w:proofErr w:type="spellEnd"/>
      <w:r w:rsidRPr="1F0B73EC">
        <w:rPr>
          <w:sz w:val="22"/>
          <w:szCs w:val="22"/>
        </w:rPr>
        <w:t xml:space="preserve"> and </w:t>
      </w:r>
      <w:r w:rsidR="6C912867" w:rsidRPr="1F0B73EC">
        <w:rPr>
          <w:sz w:val="22"/>
          <w:szCs w:val="22"/>
        </w:rPr>
        <w:t>continues</w:t>
      </w:r>
      <w:r w:rsidRPr="1F0B73EC">
        <w:rPr>
          <w:sz w:val="22"/>
          <w:szCs w:val="22"/>
        </w:rPr>
        <w:t xml:space="preserve"> to support participants</w:t>
      </w:r>
      <w:r w:rsidR="180E4494" w:rsidRPr="1F0B73EC">
        <w:rPr>
          <w:sz w:val="22"/>
          <w:szCs w:val="22"/>
        </w:rPr>
        <w:t xml:space="preserve"> on placement</w:t>
      </w:r>
      <w:r w:rsidRPr="1F0B73EC">
        <w:rPr>
          <w:sz w:val="22"/>
          <w:szCs w:val="22"/>
        </w:rPr>
        <w:t>.</w:t>
      </w:r>
    </w:p>
    <w:p w14:paraId="4CD9DBCE" w14:textId="77777777" w:rsidR="00640289" w:rsidRDefault="1F0B73EC" w:rsidP="1F0B73E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1F0B73EC">
        <w:rPr>
          <w:b/>
          <w:bCs/>
          <w:sz w:val="22"/>
          <w:szCs w:val="22"/>
        </w:rPr>
        <w:t>Progression &amp; Development</w:t>
      </w:r>
      <w:r w:rsidRPr="1F0B73EC">
        <w:rPr>
          <w:sz w:val="22"/>
          <w:szCs w:val="22"/>
        </w:rPr>
        <w:t>:</w:t>
      </w:r>
    </w:p>
    <w:p w14:paraId="05B5D251" w14:textId="57E488D8" w:rsidR="00640289" w:rsidRDefault="1F0B73EC" w:rsidP="1F0B73EC">
      <w:pPr>
        <w:pStyle w:val="ListParagraph"/>
        <w:numPr>
          <w:ilvl w:val="1"/>
          <w:numId w:val="2"/>
        </w:numPr>
        <w:rPr>
          <w:rStyle w:val="FootnoteReference"/>
          <w:sz w:val="22"/>
          <w:szCs w:val="22"/>
        </w:rPr>
      </w:pPr>
      <w:r w:rsidRPr="1F0B73EC">
        <w:rPr>
          <w:sz w:val="22"/>
          <w:szCs w:val="22"/>
        </w:rPr>
        <w:t xml:space="preserve">Taff is </w:t>
      </w:r>
      <w:r w:rsidR="44F72497" w:rsidRPr="1F0B73EC">
        <w:rPr>
          <w:sz w:val="22"/>
          <w:szCs w:val="22"/>
        </w:rPr>
        <w:t xml:space="preserve">planning to </w:t>
      </w:r>
      <w:r w:rsidRPr="1F0B73EC">
        <w:rPr>
          <w:sz w:val="22"/>
          <w:szCs w:val="22"/>
        </w:rPr>
        <w:t>develop a Community Academy and employability pathways for BAME colleagues and community members, including apprenticeships and mentoring</w:t>
      </w:r>
      <w:r w:rsidR="6901EF8F" w:rsidRPr="1F0B73EC">
        <w:rPr>
          <w:sz w:val="22"/>
          <w:szCs w:val="22"/>
        </w:rPr>
        <w:t>.</w:t>
      </w:r>
    </w:p>
    <w:p w14:paraId="0746329B" w14:textId="17600044" w:rsidR="00640289" w:rsidRDefault="1F0B73EC" w:rsidP="1F0B73EC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1F0B73EC">
        <w:rPr>
          <w:sz w:val="22"/>
          <w:szCs w:val="22"/>
        </w:rPr>
        <w:t>Reverse mentoring schemes and strategic workforce planning are being expanded to support inclusive career progression</w:t>
      </w:r>
      <w:r w:rsidR="30C42DBA" w:rsidRPr="1F0B73EC">
        <w:rPr>
          <w:sz w:val="22"/>
          <w:szCs w:val="22"/>
        </w:rPr>
        <w:t>.</w:t>
      </w:r>
    </w:p>
    <w:p w14:paraId="5807D93F" w14:textId="10423914" w:rsidR="00640289" w:rsidRDefault="1F0B73EC" w:rsidP="1F0B73EC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1F0B73EC">
        <w:rPr>
          <w:sz w:val="22"/>
          <w:szCs w:val="22"/>
        </w:rPr>
        <w:t>Taff is pursuing Tai Pawb’s QED Accreditation in 2025 to further embed EDI principles and ensure accountability</w:t>
      </w:r>
      <w:r w:rsidR="34BC465A" w:rsidRPr="1F0B73EC">
        <w:rPr>
          <w:sz w:val="22"/>
          <w:szCs w:val="22"/>
        </w:rPr>
        <w:t>. We</w:t>
      </w:r>
      <w:r w:rsidRPr="1F0B73EC">
        <w:rPr>
          <w:sz w:val="22"/>
          <w:szCs w:val="22"/>
        </w:rPr>
        <w:t xml:space="preserve"> continue to publish annual diversity reports to track progress and inform future acti</w:t>
      </w:r>
      <w:r w:rsidR="20F05628" w:rsidRPr="1F0B73EC">
        <w:rPr>
          <w:sz w:val="22"/>
          <w:szCs w:val="22"/>
        </w:rPr>
        <w:t>on.</w:t>
      </w:r>
    </w:p>
    <w:sectPr w:rsidR="00640289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8A1A9"/>
    <w:multiLevelType w:val="hybridMultilevel"/>
    <w:tmpl w:val="5AEEBFC2"/>
    <w:lvl w:ilvl="0" w:tplc="0366A01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04289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B6ED0C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228C65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91097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3D076B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D1EC8E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22A35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AA8AE1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6C715C0E"/>
    <w:multiLevelType w:val="hybridMultilevel"/>
    <w:tmpl w:val="755A97B4"/>
    <w:lvl w:ilvl="0" w:tplc="67E42A92">
      <w:start w:val="1"/>
      <w:numFmt w:val="bullet"/>
      <w:lvlText w:val="●"/>
      <w:lvlJc w:val="left"/>
      <w:pPr>
        <w:ind w:left="720" w:hanging="360"/>
      </w:pPr>
    </w:lvl>
    <w:lvl w:ilvl="1" w:tplc="86004F3A">
      <w:start w:val="1"/>
      <w:numFmt w:val="bullet"/>
      <w:lvlText w:val="○"/>
      <w:lvlJc w:val="left"/>
      <w:pPr>
        <w:ind w:left="1440" w:hanging="360"/>
      </w:pPr>
    </w:lvl>
    <w:lvl w:ilvl="2" w:tplc="CD06D81A">
      <w:start w:val="1"/>
      <w:numFmt w:val="bullet"/>
      <w:lvlText w:val="■"/>
      <w:lvlJc w:val="left"/>
      <w:pPr>
        <w:ind w:left="2160" w:hanging="360"/>
      </w:pPr>
    </w:lvl>
    <w:lvl w:ilvl="3" w:tplc="052CCE8E">
      <w:start w:val="1"/>
      <w:numFmt w:val="bullet"/>
      <w:lvlText w:val="●"/>
      <w:lvlJc w:val="left"/>
      <w:pPr>
        <w:ind w:left="2880" w:hanging="360"/>
      </w:pPr>
    </w:lvl>
    <w:lvl w:ilvl="4" w:tplc="B70235E8">
      <w:start w:val="1"/>
      <w:numFmt w:val="bullet"/>
      <w:lvlText w:val="○"/>
      <w:lvlJc w:val="left"/>
      <w:pPr>
        <w:ind w:left="3600" w:hanging="360"/>
      </w:pPr>
    </w:lvl>
    <w:lvl w:ilvl="5" w:tplc="87286CCE">
      <w:start w:val="1"/>
      <w:numFmt w:val="bullet"/>
      <w:lvlText w:val="■"/>
      <w:lvlJc w:val="left"/>
      <w:pPr>
        <w:ind w:left="4320" w:hanging="360"/>
      </w:pPr>
    </w:lvl>
    <w:lvl w:ilvl="6" w:tplc="AA8A1AA2">
      <w:start w:val="1"/>
      <w:numFmt w:val="bullet"/>
      <w:lvlText w:val="●"/>
      <w:lvlJc w:val="left"/>
      <w:pPr>
        <w:ind w:left="5040" w:hanging="360"/>
      </w:pPr>
    </w:lvl>
    <w:lvl w:ilvl="7" w:tplc="06487024">
      <w:start w:val="1"/>
      <w:numFmt w:val="bullet"/>
      <w:lvlText w:val="●"/>
      <w:lvlJc w:val="left"/>
      <w:pPr>
        <w:ind w:left="5760" w:hanging="360"/>
      </w:pPr>
    </w:lvl>
    <w:lvl w:ilvl="8" w:tplc="8938ADFA">
      <w:start w:val="1"/>
      <w:numFmt w:val="bullet"/>
      <w:lvlText w:val="●"/>
      <w:lvlJc w:val="left"/>
      <w:pPr>
        <w:ind w:left="6480" w:hanging="360"/>
      </w:pPr>
    </w:lvl>
  </w:abstractNum>
  <w:num w:numId="1" w16cid:durableId="1564098001">
    <w:abstractNumId w:val="1"/>
    <w:lvlOverride w:ilvl="0">
      <w:startOverride w:val="1"/>
    </w:lvlOverride>
  </w:num>
  <w:num w:numId="2" w16cid:durableId="1640383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69C1E0"/>
    <w:rsid w:val="003E218E"/>
    <w:rsid w:val="00640289"/>
    <w:rsid w:val="00770E75"/>
    <w:rsid w:val="0369C1E0"/>
    <w:rsid w:val="0902FDC1"/>
    <w:rsid w:val="180E4494"/>
    <w:rsid w:val="1F0B73EC"/>
    <w:rsid w:val="20F05628"/>
    <w:rsid w:val="22168067"/>
    <w:rsid w:val="27664D25"/>
    <w:rsid w:val="29219BD3"/>
    <w:rsid w:val="2B5FDD38"/>
    <w:rsid w:val="30612F6E"/>
    <w:rsid w:val="30C42DBA"/>
    <w:rsid w:val="31160D23"/>
    <w:rsid w:val="34BC465A"/>
    <w:rsid w:val="38F689B5"/>
    <w:rsid w:val="3A59B575"/>
    <w:rsid w:val="3B5BF7A8"/>
    <w:rsid w:val="44F6B955"/>
    <w:rsid w:val="44F72497"/>
    <w:rsid w:val="451F7D12"/>
    <w:rsid w:val="547B86CE"/>
    <w:rsid w:val="5589E2BB"/>
    <w:rsid w:val="5950165E"/>
    <w:rsid w:val="64DFB0D7"/>
    <w:rsid w:val="67040D71"/>
    <w:rsid w:val="6901EF8F"/>
    <w:rsid w:val="6C912867"/>
    <w:rsid w:val="6FFEE4D8"/>
    <w:rsid w:val="70339B0C"/>
    <w:rsid w:val="738DE4C5"/>
    <w:rsid w:val="742F9E58"/>
    <w:rsid w:val="76B9162E"/>
    <w:rsid w:val="7954B8F4"/>
    <w:rsid w:val="7E9C0853"/>
    <w:rsid w:val="7FB2D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34AF4"/>
  <w15:docId w15:val="{DF25181D-5E33-4CCF-909E-A3F505C2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Evelyn James</cp:lastModifiedBy>
  <cp:revision>2</cp:revision>
  <dcterms:created xsi:type="dcterms:W3CDTF">2025-10-01T11:28:00Z</dcterms:created>
  <dcterms:modified xsi:type="dcterms:W3CDTF">2025-10-01T11:28:00Z</dcterms:modified>
</cp:coreProperties>
</file>